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418" w:rsidRDefault="00853418">
      <w:r>
        <w:t>Artificial Intelligence Perspective</w:t>
      </w:r>
      <w:r w:rsidR="00AB700C">
        <w:t xml:space="preserve"> 2024</w:t>
      </w:r>
      <w:bookmarkStart w:id="0" w:name="_GoBack"/>
      <w:bookmarkEnd w:id="0"/>
    </w:p>
    <w:p w:rsidR="00853418" w:rsidRDefault="00853418">
      <w:proofErr w:type="gramStart"/>
      <w:r>
        <w:t>lecturer</w:t>
      </w:r>
      <w:proofErr w:type="gramEnd"/>
      <w:r>
        <w:t>:  Prabhas Chongstitvatana</w:t>
      </w:r>
    </w:p>
    <w:p w:rsidR="00853418" w:rsidRDefault="00853418"/>
    <w:p w:rsidR="001401C4" w:rsidRDefault="00853418">
      <w:r w:rsidRPr="00853418">
        <w:rPr>
          <w:cs/>
        </w:rPr>
        <w:t>นิยามปัญญาประดิษฐ์ แนวคิดและทฤษฎี วิวัฒนาการของปัญญาประดิษฐ์ ปัญญาประดิษฐ์โดยสัญลักษณ์ ทฤษฎีการเชื่อมโยง การใช้เหตุผลอัตโนมัติ เครือข่ายประสาทเทียม การเรียนรู้โดยเครื่อง การคำนวณแบบวิวัฒนาการ ปัญญาประดิษฐ์เชิงปฏิบัติ ศีลธรรมกับปัญญาประดิษฐ์</w:t>
      </w:r>
      <w:r w:rsidRPr="00853418">
        <w:br/>
      </w:r>
      <w:r w:rsidRPr="00853418">
        <w:br/>
        <w:t>Artificial intelligence definition, philosophy of AI, development of AI, symbolic AI, connectionism, automated reasoning, artificial Neuron Networks, Learning, evolution computation, practice in AI, ethical discussion</w:t>
      </w:r>
    </w:p>
    <w:sectPr w:rsidR="00140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418"/>
    <w:rsid w:val="001401C4"/>
    <w:rsid w:val="00853418"/>
    <w:rsid w:val="00AB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1B78E"/>
  <w15:chartTrackingRefBased/>
  <w15:docId w15:val="{27F6B098-6210-4276-9E8B-028F3040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Chulalongkorn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Prabhas Chongstitvatana</dc:creator>
  <cp:keywords/>
  <dc:description/>
  <cp:lastModifiedBy>Prabhas Chongstitvatana</cp:lastModifiedBy>
  <cp:revision>2</cp:revision>
  <dcterms:created xsi:type="dcterms:W3CDTF">2025-01-18T02:23:00Z</dcterms:created>
  <dcterms:modified xsi:type="dcterms:W3CDTF">2025-01-18T02:24:00Z</dcterms:modified>
</cp:coreProperties>
</file>